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9" w:afterAutospacing="0" w:line="522" w:lineRule="atLeast"/>
        <w:ind w:left="0" w:right="0" w:firstLine="0"/>
        <w:jc w:val="center"/>
        <w:rPr>
          <w:rFonts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caps w:val="0"/>
          <w:color w:val="333333"/>
          <w:spacing w:val="0"/>
          <w:sz w:val="31"/>
          <w:szCs w:val="31"/>
          <w:bdr w:val="none" w:color="auto" w:sz="0" w:space="0"/>
        </w:rPr>
        <w:br w:type="textWrapping"/>
      </w:r>
      <w:r>
        <w:rPr>
          <w:rStyle w:val="5"/>
          <w:rFonts w:hint="eastAsia" w:ascii="仿宋" w:hAnsi="仿宋" w:eastAsia="仿宋" w:cs="仿宋"/>
          <w:caps w:val="0"/>
          <w:color w:val="333333"/>
          <w:spacing w:val="0"/>
          <w:sz w:val="31"/>
          <w:szCs w:val="31"/>
          <w:bdr w:val="none" w:color="auto" w:sz="0" w:space="0"/>
        </w:rPr>
        <w:t>2022年硕士研究生复试考生所需设备及要求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一、考生需准备的资格审查材料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（1）本人亲笔签名的《考生承诺书》。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（2）应届本科毕业生：身份证；学生证或教育部学籍在线验证报告；自考生提供《课程合格证明》；网络教育考生提供网络教育高校开具在籍证明。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（3）往届毕业生：身份证；毕业证或教育部学历证书电子注册备案表；持在境外获得学历、学位的考生，须提供教育部留学服务中心出具的学历认证报告。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（4）本人手持身份证的照片。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（5）报考退役大学生士兵计划的考生：除上述材料外，还须提供入伍批准书、退出现役证。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（6）报考招生学院要求提供的其他材料。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（7）以上材料仅提交电子版。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二、考生所需设备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我校复试工作按规定统一使用“双机位”进行网络远程复试。主、副机位均使用“钉钉”平台。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主、副机位均备用“腾讯会议”平台，正常情况下不启用，仅在钉钉平台出现异常时应急使用。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考生主机位（用于面试设备）：1台笔记本电脑或台式机（确实不具备条件的考生可以使用手机）、高清摄像头、麦克风、耳机，安装“钉钉”软件，并备用安装“腾讯会议”软件。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考生副机位（用于监控面试环境的设备）：1部手机或笔记本电脑或台式机（必须带有摄像头），安装“钉钉”软件，并备用安装“腾讯会议”软件。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主机位摄像头正面对准考生本人，面试时正对摄像头保持坐姿端正，双手和头部完全呈现在复试面试小组可见画面中，主机位摄像头中可见房间门。副机位摄像头从考生后方成45°拍摄，要保证考生和考试屏幕能清晰地被复试面试小组看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三、考生的考试环境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应保证设备电量充足，网络连接正常，关闭移动设备通话、录屏、外放音乐、闹钟等可能影响面试的应用程序。独立的复试房间，视频环境没有杂音，灯光明亮，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逆光，视频区域整洁。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四、考生需准备的考试用品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本人二代居民身份证；黑色签字笔和空白纸张若干；报考学院要求准备的其他考试用品。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/>
        <w:rPr>
          <w:rFonts w:hint="default" w:ascii="Tahoma" w:hAnsi="Tahoma" w:eastAsia="Tahoma" w:cs="Tahoma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复试全程只允许考生一人在面试房间，禁止他人进入，若有违反，视同作弊。复试内容属于国家机密级，考生严禁对复试过程进行录音、录像和录屏，不得将考题内容泄露或传播，如发现或经举报查实违反上述规定，取消录取资格，情节严重的报国家有关部门依法处理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六、本年度录取的考生在入学后3个月内，学校将按照《普通高等学校学生管理规定》有关要求，对所有考生进行全面复查。复查不合格的，取消学籍；情节严重的，移交有关部门调查处理。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0" w:firstLine="562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7"/>
          <w:szCs w:val="27"/>
          <w:bdr w:val="none" w:color="auto" w:sz="0" w:space="0"/>
        </w:rPr>
        <w:t>七、管理类联考专业需考核思想政治理论笔试；同等学力考生需在复试过程中加试两门主干课程考试，具体要求另行通知。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30A7E"/>
    <w:multiLevelType w:val="multilevel"/>
    <w:tmpl w:val="BBB30A7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2022-03-22T03:29:00Z</dcterms:created>
  <dc:creator>Administrator</dc:creator>
  <cp:lastModifiedBy>Administrator</cp:lastModifiedBy>
  <dcterms:modified xsi:type="dcterms:W3CDTF">2022-03-22T03:31:38Z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27153A4D79644B3E9BFCCE5943BA2B2C</vt:lpwstr>
  </property>
</Properties>
</file>